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36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36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Федеральная служба по надзору в сфере образования и науки</w:t>
      </w:r>
    </w:p>
    <w:p>
      <w:pPr>
        <w:keepNext w:val="true"/>
        <w:keepLines w:val="true"/>
        <w:numPr>
          <w:ilvl w:val="0"/>
          <w:numId w:val="2"/>
        </w:numPr>
        <w:tabs>
          <w:tab w:val="left" w:pos="1" w:leader="none"/>
          <w:tab w:val="left" w:pos="284" w:leader="none"/>
          <w:tab w:val="left" w:pos="568" w:leader="none"/>
          <w:tab w:val="left" w:pos="851" w:leader="none"/>
          <w:tab w:val="left" w:pos="1134" w:leader="none"/>
          <w:tab w:val="left" w:pos="1418" w:leader="none"/>
          <w:tab w:val="left" w:pos="1701" w:leader="none"/>
          <w:tab w:val="left" w:pos="1985" w:leader="none"/>
        </w:tabs>
        <w:suppressAutoHyphens w:val="true"/>
        <w:spacing w:before="240" w:after="60" w:line="240"/>
        <w:ind w:right="0" w:left="1" w:hanging="1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keepNext w:val="true"/>
        <w:keepLines w:val="true"/>
        <w:numPr>
          <w:ilvl w:val="0"/>
          <w:numId w:val="2"/>
        </w:numPr>
        <w:tabs>
          <w:tab w:val="left" w:pos="1" w:leader="none"/>
          <w:tab w:val="left" w:pos="284" w:leader="none"/>
          <w:tab w:val="left" w:pos="568" w:leader="none"/>
          <w:tab w:val="left" w:pos="851" w:leader="none"/>
          <w:tab w:val="left" w:pos="1134" w:leader="none"/>
          <w:tab w:val="left" w:pos="1418" w:leader="none"/>
          <w:tab w:val="left" w:pos="1701" w:leader="none"/>
          <w:tab w:val="left" w:pos="1985" w:leader="none"/>
        </w:tabs>
        <w:suppressAutoHyphens w:val="true"/>
        <w:spacing w:before="240" w:after="60" w:line="240"/>
        <w:ind w:right="0" w:left="1" w:hanging="1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keepNext w:val="true"/>
        <w:keepLines w:val="true"/>
        <w:numPr>
          <w:ilvl w:val="0"/>
          <w:numId w:val="2"/>
        </w:numPr>
        <w:tabs>
          <w:tab w:val="left" w:pos="1" w:leader="none"/>
          <w:tab w:val="left" w:pos="284" w:leader="none"/>
          <w:tab w:val="left" w:pos="568" w:leader="none"/>
          <w:tab w:val="left" w:pos="851" w:leader="none"/>
          <w:tab w:val="left" w:pos="1134" w:leader="none"/>
          <w:tab w:val="left" w:pos="1418" w:leader="none"/>
          <w:tab w:val="left" w:pos="1701" w:leader="none"/>
          <w:tab w:val="left" w:pos="1985" w:leader="none"/>
        </w:tabs>
        <w:suppressAutoHyphens w:val="true"/>
        <w:spacing w:before="240" w:after="60" w:line="240"/>
        <w:ind w:right="0" w:left="1" w:hanging="1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keepNext w:val="true"/>
        <w:keepLines w:val="true"/>
        <w:numPr>
          <w:ilvl w:val="0"/>
          <w:numId w:val="2"/>
        </w:numPr>
        <w:tabs>
          <w:tab w:val="left" w:pos="1" w:leader="none"/>
          <w:tab w:val="left" w:pos="284" w:leader="none"/>
          <w:tab w:val="left" w:pos="568" w:leader="none"/>
          <w:tab w:val="left" w:pos="851" w:leader="none"/>
          <w:tab w:val="left" w:pos="1134" w:leader="none"/>
          <w:tab w:val="left" w:pos="1418" w:leader="none"/>
          <w:tab w:val="left" w:pos="1701" w:leader="none"/>
          <w:tab w:val="left" w:pos="1985" w:leader="none"/>
        </w:tabs>
        <w:suppressAutoHyphens w:val="true"/>
        <w:spacing w:before="240" w:after="60" w:line="240"/>
        <w:ind w:right="0" w:left="1" w:hanging="1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keepNext w:val="true"/>
        <w:keepLines w:val="true"/>
        <w:numPr>
          <w:ilvl w:val="0"/>
          <w:numId w:val="2"/>
        </w:numPr>
        <w:tabs>
          <w:tab w:val="left" w:pos="1" w:leader="none"/>
          <w:tab w:val="left" w:pos="284" w:leader="none"/>
          <w:tab w:val="left" w:pos="568" w:leader="none"/>
          <w:tab w:val="left" w:pos="851" w:leader="none"/>
          <w:tab w:val="left" w:pos="1134" w:leader="none"/>
          <w:tab w:val="left" w:pos="1418" w:leader="none"/>
          <w:tab w:val="left" w:pos="1701" w:leader="none"/>
          <w:tab w:val="left" w:pos="1985" w:leader="none"/>
        </w:tabs>
        <w:suppressAutoHyphens w:val="true"/>
        <w:spacing w:before="240" w:after="60" w:line="240"/>
        <w:ind w:right="0" w:left="1" w:hanging="1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keepNext w:val="true"/>
        <w:keepLines w:val="true"/>
        <w:numPr>
          <w:ilvl w:val="0"/>
          <w:numId w:val="2"/>
        </w:numPr>
        <w:tabs>
          <w:tab w:val="left" w:pos="1" w:leader="none"/>
          <w:tab w:val="left" w:pos="284" w:leader="none"/>
          <w:tab w:val="left" w:pos="568" w:leader="none"/>
          <w:tab w:val="left" w:pos="851" w:leader="none"/>
          <w:tab w:val="left" w:pos="1134" w:leader="none"/>
          <w:tab w:val="left" w:pos="1418" w:leader="none"/>
          <w:tab w:val="left" w:pos="1701" w:leader="none"/>
          <w:tab w:val="left" w:pos="1985" w:leader="none"/>
        </w:tabs>
        <w:suppressAutoHyphens w:val="true"/>
        <w:spacing w:before="240" w:after="60" w:line="240"/>
        <w:ind w:right="0" w:left="1" w:hanging="1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5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  <w:t xml:space="preserve">Технический регламент проведения итогового сочинения (изложения)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Москва, 2015</w:t>
      </w:r>
    </w:p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360"/>
        <w:ind w:right="0" w:left="0" w:firstLine="709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  <w:t xml:space="preserve">Аннотация</w:t>
      </w: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Настоящий технический регламент проведения итогового сочинения (изложения) и содержит описание:</w:t>
      </w:r>
    </w:p>
    <w:p>
      <w:pPr>
        <w:numPr>
          <w:ilvl w:val="0"/>
          <w:numId w:val="7"/>
        </w:numPr>
        <w:spacing w:before="0" w:after="12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требования к программно-аппаратному обеспечению на региональном, муниципальном уровнях и уровне образовательных организаций;</w:t>
      </w:r>
    </w:p>
    <w:p>
      <w:pPr>
        <w:numPr>
          <w:ilvl w:val="0"/>
          <w:numId w:val="7"/>
        </w:numPr>
        <w:spacing w:before="0" w:after="12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архитектуру и состав программного обеспечения на региональном, муниципальном уровнях и уровне образовательных организаций;</w:t>
      </w:r>
    </w:p>
    <w:p>
      <w:pPr>
        <w:numPr>
          <w:ilvl w:val="0"/>
          <w:numId w:val="7"/>
        </w:numPr>
        <w:spacing w:before="0" w:after="12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материально-техническое оснащение на региональном, муниципальном уровнях и уровне образовательных организаций.</w:t>
      </w:r>
    </w:p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  <w:t xml:space="preserve">Перечень сокращений, условных обозначений, символов, единиц и терминов</w:t>
      </w: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 следующей таблице приведен перечень используемых в документе сокращений и условных обозначений.</w:t>
      </w:r>
    </w:p>
    <w:tbl>
      <w:tblPr/>
      <w:tblGrid>
        <w:gridCol w:w="3243"/>
        <w:gridCol w:w="6753"/>
      </w:tblGrid>
      <w:tr>
        <w:trPr>
          <w:trHeight w:val="1" w:hRule="atLeast"/>
          <w:jc w:val="left"/>
        </w:trPr>
        <w:tc>
          <w:tcPr>
            <w:tcW w:w="3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Сокращение, условное обозначение</w:t>
            </w:r>
          </w:p>
        </w:tc>
        <w:tc>
          <w:tcPr>
            <w:tcW w:w="6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d9d9d9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Расшифровка сокращения, условного обозначения</w:t>
            </w:r>
          </w:p>
        </w:tc>
      </w:tr>
      <w:tr>
        <w:trPr>
          <w:trHeight w:val="170" w:hRule="auto"/>
          <w:jc w:val="left"/>
        </w:trPr>
        <w:tc>
          <w:tcPr>
            <w:tcW w:w="3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БД</w:t>
            </w:r>
          </w:p>
        </w:tc>
        <w:tc>
          <w:tcPr>
            <w:tcW w:w="6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База данных</w:t>
            </w:r>
          </w:p>
        </w:tc>
      </w:tr>
      <w:tr>
        <w:trPr>
          <w:trHeight w:val="197" w:hRule="auto"/>
          <w:jc w:val="left"/>
        </w:trPr>
        <w:tc>
          <w:tcPr>
            <w:tcW w:w="3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ГИА</w:t>
            </w:r>
          </w:p>
        </w:tc>
        <w:tc>
          <w:tcPr>
            <w:tcW w:w="6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Государственная итоговая аттестация по образовательным программам среднего общего образования</w:t>
            </w:r>
          </w:p>
        </w:tc>
      </w:tr>
      <w:tr>
        <w:trPr>
          <w:trHeight w:val="197" w:hRule="auto"/>
          <w:jc w:val="left"/>
        </w:trPr>
        <w:tc>
          <w:tcPr>
            <w:tcW w:w="3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МСУ</w:t>
            </w:r>
          </w:p>
        </w:tc>
        <w:tc>
          <w:tcPr>
            <w:tcW w:w="6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Орган местного самоуправления, осуществляющий управление в сфере образования</w:t>
            </w:r>
          </w:p>
        </w:tc>
      </w:tr>
      <w:tr>
        <w:trPr>
          <w:trHeight w:val="197" w:hRule="auto"/>
          <w:jc w:val="left"/>
        </w:trPr>
        <w:tc>
          <w:tcPr>
            <w:tcW w:w="3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ОИВ</w:t>
            </w:r>
          </w:p>
        </w:tc>
        <w:tc>
          <w:tcPr>
            <w:tcW w:w="6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Орган исполнительной власти, осуществляющий управление в сфере образования</w:t>
            </w:r>
          </w:p>
        </w:tc>
      </w:tr>
      <w:tr>
        <w:trPr>
          <w:trHeight w:val="197" w:hRule="auto"/>
          <w:jc w:val="left"/>
        </w:trPr>
        <w:tc>
          <w:tcPr>
            <w:tcW w:w="3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ОО</w:t>
            </w:r>
          </w:p>
        </w:tc>
        <w:tc>
          <w:tcPr>
            <w:tcW w:w="6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Образовательная организация</w:t>
            </w:r>
          </w:p>
        </w:tc>
      </w:tr>
      <w:tr>
        <w:trPr>
          <w:trHeight w:val="197" w:hRule="auto"/>
          <w:jc w:val="left"/>
        </w:trPr>
        <w:tc>
          <w:tcPr>
            <w:tcW w:w="3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ПО</w:t>
            </w:r>
          </w:p>
        </w:tc>
        <w:tc>
          <w:tcPr>
            <w:tcW w:w="6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Программное обеспечение</w:t>
            </w:r>
          </w:p>
        </w:tc>
      </w:tr>
      <w:tr>
        <w:trPr>
          <w:trHeight w:val="197" w:hRule="auto"/>
          <w:jc w:val="left"/>
        </w:trPr>
        <w:tc>
          <w:tcPr>
            <w:tcW w:w="3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РИС</w:t>
            </w:r>
          </w:p>
        </w:tc>
        <w:tc>
          <w:tcPr>
            <w:tcW w:w="6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Региональная информационная система</w:t>
            </w:r>
          </w:p>
        </w:tc>
      </w:tr>
      <w:tr>
        <w:trPr>
          <w:trHeight w:val="197" w:hRule="auto"/>
          <w:jc w:val="left"/>
        </w:trPr>
        <w:tc>
          <w:tcPr>
            <w:tcW w:w="3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РУ</w:t>
            </w:r>
          </w:p>
        </w:tc>
        <w:tc>
          <w:tcPr>
            <w:tcW w:w="6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Региональный уровень</w:t>
            </w:r>
          </w:p>
        </w:tc>
      </w:tr>
      <w:tr>
        <w:trPr>
          <w:trHeight w:val="197" w:hRule="auto"/>
          <w:jc w:val="left"/>
        </w:trPr>
        <w:tc>
          <w:tcPr>
            <w:tcW w:w="3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РЦОИ</w:t>
            </w:r>
          </w:p>
        </w:tc>
        <w:tc>
          <w:tcPr>
            <w:tcW w:w="6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Региональный центр обработки информации</w:t>
            </w:r>
          </w:p>
        </w:tc>
      </w:tr>
      <w:tr>
        <w:trPr>
          <w:trHeight w:val="197" w:hRule="auto"/>
          <w:jc w:val="left"/>
        </w:trPr>
        <w:tc>
          <w:tcPr>
            <w:tcW w:w="3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ФИС</w:t>
            </w:r>
          </w:p>
        </w:tc>
        <w:tc>
          <w:tcPr>
            <w:tcW w:w="6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Федеральная информационная система</w:t>
            </w:r>
          </w:p>
        </w:tc>
      </w:tr>
      <w:tr>
        <w:trPr>
          <w:trHeight w:val="197" w:hRule="auto"/>
          <w:jc w:val="left"/>
        </w:trPr>
        <w:tc>
          <w:tcPr>
            <w:tcW w:w="32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ФУ</w:t>
            </w:r>
          </w:p>
        </w:tc>
        <w:tc>
          <w:tcPr>
            <w:tcW w:w="67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36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6"/>
                <w:shd w:fill="auto" w:val="clear"/>
              </w:rPr>
              <w:t xml:space="preserve">Федеральный уровень</w:t>
            </w:r>
          </w:p>
        </w:tc>
      </w:tr>
    </w:tbl>
    <w:p>
      <w:pPr>
        <w:keepNext w:val="true"/>
        <w:keepLines w:val="true"/>
        <w:pageBreakBefore w:val="true"/>
        <w:numPr>
          <w:ilvl w:val="0"/>
          <w:numId w:val="48"/>
        </w:numPr>
        <w:tabs>
          <w:tab w:val="left" w:pos="1" w:leader="none"/>
          <w:tab w:val="left" w:pos="284" w:leader="none"/>
          <w:tab w:val="left" w:pos="568" w:leader="none"/>
          <w:tab w:val="left" w:pos="851" w:leader="none"/>
          <w:tab w:val="left" w:pos="1134" w:leader="none"/>
          <w:tab w:val="left" w:pos="1418" w:leader="none"/>
          <w:tab w:val="left" w:pos="1701" w:leader="none"/>
          <w:tab w:val="left" w:pos="1985" w:leader="none"/>
        </w:tabs>
        <w:suppressAutoHyphens w:val="true"/>
        <w:spacing w:before="240" w:after="60" w:line="360"/>
        <w:ind w:right="0" w:left="720" w:hanging="3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  <w:t xml:space="preserve">Архитектура и состав ПО</w:t>
      </w: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Схема ПО, используемого для проведения итогового сочинения (изложения) приведена на рисунке ниже (см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  <w:t xml:space="preserve">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Рисунок 1). На схеме приведены только новые или значительно модернизируемые, по сравнению со стандартной технологией проведения ЕГЭ, модули и подсистемы.</w:t>
      </w:r>
    </w:p>
    <w:p>
      <w:pPr>
        <w:keepNext w:val="true"/>
        <w:spacing w:before="0" w:after="200" w:line="360"/>
        <w:ind w:right="0" w:left="0" w:firstLine="709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object w:dxaOrig="6215" w:dyaOrig="10994">
          <v:rect xmlns:o="urn:schemas-microsoft-com:office:office" xmlns:v="urn:schemas-microsoft-com:vml" id="rectole0000000000" style="width:310.750000pt;height:549.7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DrawAspect="Content" ObjectID="0000000000" ShapeID="rectole0000000000" r:id="docRId0"/>
        </w:object>
      </w:r>
    </w:p>
    <w:p>
      <w:pPr>
        <w:spacing w:before="0" w:after="20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Рисунок 1 – Архитектура и состав ПО</w:t>
      </w:r>
    </w:p>
    <w:p>
      <w:pPr>
        <w:keepNext w:val="true"/>
        <w:keepLines w:val="true"/>
        <w:pageBreakBefore w:val="true"/>
        <w:numPr>
          <w:ilvl w:val="0"/>
          <w:numId w:val="52"/>
        </w:numPr>
        <w:tabs>
          <w:tab w:val="left" w:pos="1" w:leader="none"/>
          <w:tab w:val="left" w:pos="284" w:leader="none"/>
          <w:tab w:val="left" w:pos="568" w:leader="none"/>
          <w:tab w:val="left" w:pos="851" w:leader="none"/>
          <w:tab w:val="left" w:pos="1134" w:leader="none"/>
          <w:tab w:val="left" w:pos="1418" w:leader="none"/>
          <w:tab w:val="left" w:pos="1701" w:leader="none"/>
          <w:tab w:val="left" w:pos="1985" w:leader="none"/>
        </w:tabs>
        <w:suppressAutoHyphens w:val="true"/>
        <w:spacing w:before="240" w:after="60" w:line="360"/>
        <w:ind w:right="0" w:left="720" w:hanging="3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  <w:t xml:space="preserve">Требования к техническому и программному оснащению рабочих станций</w:t>
      </w:r>
    </w:p>
    <w:p>
      <w:pPr>
        <w:keepNext w:val="true"/>
        <w:keepLines w:val="true"/>
        <w:numPr>
          <w:ilvl w:val="0"/>
          <w:numId w:val="52"/>
        </w:numPr>
        <w:tabs>
          <w:tab w:val="left" w:pos="284" w:leader="none"/>
          <w:tab w:val="left" w:pos="568" w:leader="none"/>
          <w:tab w:val="left" w:pos="1134" w:leader="none"/>
          <w:tab w:val="left" w:pos="1418" w:leader="none"/>
          <w:tab w:val="left" w:pos="1701" w:leader="none"/>
          <w:tab w:val="left" w:pos="1985" w:leader="none"/>
        </w:tabs>
        <w:suppressAutoHyphens w:val="true"/>
        <w:spacing w:before="240" w:after="120" w:line="360"/>
        <w:ind w:right="0" w:left="1571" w:hanging="72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  <w:t xml:space="preserve">Региональный уровень</w:t>
      </w: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 следующей таблице (см. </w:t>
      </w: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Таблица 2.1) приведены требования к оборудованию, которое должно входить в состав рабочей станции регионального уровня.</w:t>
      </w:r>
    </w:p>
    <w:p>
      <w:pPr>
        <w:spacing w:before="0" w:after="20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Таблица 2.1 – Требования к рабочей станции на региональном уровне</w:t>
      </w:r>
    </w:p>
    <w:tbl>
      <w:tblPr>
        <w:tblInd w:w="108" w:type="dxa"/>
      </w:tblPr>
      <w:tblGrid>
        <w:gridCol w:w="3456"/>
        <w:gridCol w:w="5900"/>
      </w:tblGrid>
      <w:tr>
        <w:trPr>
          <w:trHeight w:val="1" w:hRule="atLeast"/>
          <w:jc w:val="left"/>
          <w:cantSplit w:val="1"/>
        </w:trPr>
        <w:tc>
          <w:tcPr>
            <w:tcW w:w="3456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Компонент</w:t>
            </w:r>
          </w:p>
        </w:tc>
        <w:tc>
          <w:tcPr>
            <w:tcW w:w="5900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Конфигурация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Рабочая станция в РЦОИ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Наличие стабильного канала связи с выходом в Интернет.</w:t>
            </w:r>
          </w:p>
          <w:p>
            <w:pPr>
              <w:spacing w:before="60" w:after="60" w:line="36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Рабочая станция должна иметь устройство резервного копирования: внешний интерфейс: USB 2.0.</w:t>
            </w:r>
          </w:p>
          <w:p>
            <w:pPr>
              <w:spacing w:before="60" w:after="6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Дополнительных специальных требований к рабочей станции не предъявляется.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Лазерный принтер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Формат: А4:</w:t>
            </w:r>
          </w:p>
          <w:p>
            <w:pPr>
              <w:keepNext w:val="true"/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Скорость черно-белой печати (обычный режим, A4): 30 стр./мин.</w:t>
            </w:r>
          </w:p>
          <w:p>
            <w:pPr>
              <w:keepNext w:val="true"/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Качество черно-белой печати (режим наилучшего качества) не менее 600 x 600 точек на дюйм</w:t>
            </w:r>
          </w:p>
          <w:p>
            <w:pPr>
              <w:keepNext w:val="true"/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Технология печати: Лазерная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Сканер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Режим отсечения красного цвета</w:t>
            </w:r>
          </w:p>
          <w:p>
            <w:pPr>
              <w:keepNext w:val="true"/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TWAIN-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совместимый сканер</w:t>
            </w:r>
          </w:p>
          <w:p>
            <w:pPr>
              <w:keepNext w:val="true"/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Область сканирования: А4</w:t>
            </w:r>
          </w:p>
          <w:p>
            <w:pPr>
              <w:keepNext w:val="true"/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Сканирование с разрешением 300 dpi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Ксерокс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Специальных требований не предъявляется</w:t>
            </w:r>
          </w:p>
        </w:tc>
      </w:tr>
    </w:tbl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 следующей таблице (см. Таблица 2.2) приведены требования к аппаратному обеспечению рабочей станции на региональном уровне.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Таблица 2.2 – Требования к аппаратному обеспечению рабочей станции на региональном уровне</w:t>
      </w:r>
    </w:p>
    <w:tbl>
      <w:tblPr>
        <w:tblInd w:w="108" w:type="dxa"/>
      </w:tblPr>
      <w:tblGrid>
        <w:gridCol w:w="3456"/>
        <w:gridCol w:w="5900"/>
      </w:tblGrid>
      <w:tr>
        <w:trPr>
          <w:trHeight w:val="1" w:hRule="atLeast"/>
          <w:jc w:val="left"/>
          <w:cantSplit w:val="1"/>
        </w:trPr>
        <w:tc>
          <w:tcPr>
            <w:tcW w:w="3456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Компонент</w:t>
            </w:r>
          </w:p>
        </w:tc>
        <w:tc>
          <w:tcPr>
            <w:tcW w:w="5900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Конфигурация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Центральный процессор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Рекомендуется: Intel Pentium 4 2,4 ГГц, но не менее рекомендуемого для установленной ОС.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Оперативная память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Рекомендуемая: 2 Gb</w:t>
            </w:r>
          </w:p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Минимальная: 1 Gb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Дисковая подсистема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SATA (IDE),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свободного места не менее 10 Gb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Внешние интерфейсы и накопители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Устройство резервного копирования: ATAPI CD-RW</w:t>
            </w:r>
          </w:p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Внешний интерфейс: USB 2.0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Видеоадаптер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Встроен в чипсет материнской платы, производительность не менее рекомендуемой для установленной ОС.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Клавиатура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Присутствует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Мышь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Присутствует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Монитор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SVGA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разрешение не менее 1024px по горизонтали.</w:t>
            </w:r>
          </w:p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Рекомендуемое разрешение: 1280x1024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12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Сетевая плата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12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Ethernet 10/100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Мбит</w:t>
            </w:r>
          </w:p>
        </w:tc>
      </w:tr>
    </w:tbl>
    <w:p>
      <w:pPr>
        <w:spacing w:before="0" w:after="200" w:line="360"/>
        <w:ind w:right="0" w:left="7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 следующей таблице (см. </w:t>
      </w:r>
    </w:p>
    <w:p>
      <w:pPr>
        <w:spacing w:before="0" w:after="20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36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Таблица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  <w:t xml:space="preserve">2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.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  <w:t xml:space="preserve">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) приведены требования к конфигурации программного обеспечения рабочей станции на региональном уровне.</w:t>
      </w:r>
    </w:p>
    <w:p>
      <w:pPr>
        <w:spacing w:before="0" w:after="20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Таблица 2.3 - Требования к конфигурации программного обеспечения рабочей станции на региональном уровне</w:t>
      </w:r>
    </w:p>
    <w:tbl>
      <w:tblPr/>
      <w:tblGrid>
        <w:gridCol w:w="2943"/>
        <w:gridCol w:w="6644"/>
      </w:tblGrid>
      <w:tr>
        <w:trPr>
          <w:trHeight w:val="1" w:hRule="atLeast"/>
          <w:jc w:val="left"/>
          <w:cantSplit w:val="1"/>
        </w:trPr>
        <w:tc>
          <w:tcPr>
            <w:tcW w:w="2943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tabs>
                <w:tab w:val="right" w:pos="2727" w:leader="none"/>
              </w:tabs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Компонент</w:t>
            </w:r>
          </w:p>
        </w:tc>
        <w:tc>
          <w:tcPr>
            <w:tcW w:w="6644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Конфигурация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Серверная операционная система</w:t>
            </w:r>
          </w:p>
        </w:tc>
        <w:tc>
          <w:tcPr>
            <w:tcW w:w="6644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Серверная ОС семейства Windows не ниже Server 2000 SP4.</w:t>
            </w:r>
          </w:p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Для Windows Server 2000 SP4 должно быть установлено обновление безопасности (Security Update for Microsoft Windows KB 835732, соответствующего языка ОС)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СУБД</w:t>
            </w:r>
          </w:p>
        </w:tc>
        <w:tc>
          <w:tcPr>
            <w:tcW w:w="6644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Microsoft SQL Server 2008 Enterprise Edition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Операционная система</w:t>
            </w:r>
          </w:p>
        </w:tc>
        <w:tc>
          <w:tcPr>
            <w:tcW w:w="6644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Windows XP service pack 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и выше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Дополнительное ПО</w:t>
            </w:r>
          </w:p>
        </w:tc>
        <w:tc>
          <w:tcPr>
            <w:tcW w:w="66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Microsoft .NET Framework 3.5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и выше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Интернет браузер</w:t>
            </w:r>
          </w:p>
        </w:tc>
        <w:tc>
          <w:tcPr>
            <w:tcW w:w="66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Любой из браузеров:</w:t>
            </w:r>
          </w:p>
          <w:p>
            <w:pPr>
              <w:numPr>
                <w:ilvl w:val="0"/>
                <w:numId w:val="114"/>
              </w:numPr>
              <w:spacing w:before="60" w:after="60" w:line="360"/>
              <w:ind w:right="0" w:left="720" w:hanging="36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Mozilla Firefox,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версия не ниже 3,</w:t>
            </w:r>
          </w:p>
          <w:p>
            <w:pPr>
              <w:numPr>
                <w:ilvl w:val="0"/>
                <w:numId w:val="114"/>
              </w:numPr>
              <w:spacing w:before="60" w:after="60" w:line="360"/>
              <w:ind w:right="0" w:left="720" w:hanging="36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Google Chrome,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версия не ниже 18,</w:t>
            </w:r>
          </w:p>
          <w:p>
            <w:pPr>
              <w:numPr>
                <w:ilvl w:val="0"/>
                <w:numId w:val="114"/>
              </w:numPr>
              <w:spacing w:before="60" w:after="60" w:line="360"/>
              <w:ind w:right="0" w:left="720" w:hanging="36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Opera,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версия не ниже 12,</w:t>
            </w:r>
          </w:p>
          <w:p>
            <w:pPr>
              <w:numPr>
                <w:ilvl w:val="0"/>
                <w:numId w:val="114"/>
              </w:numPr>
              <w:spacing w:before="60" w:after="60" w:line="360"/>
              <w:ind w:right="0" w:left="720" w:hanging="36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Microsoft Internet Explorer,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версия не ниже 8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ПО для сканирования</w:t>
            </w:r>
          </w:p>
        </w:tc>
        <w:tc>
          <w:tcPr>
            <w:tcW w:w="66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Специализированное ПО, обеспечивающее сканирование бланков итоговых сочинений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ПО для распознавания </w:t>
            </w:r>
          </w:p>
        </w:tc>
        <w:tc>
          <w:tcPr>
            <w:tcW w:w="66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Специализированное ПО, обеспечивающее распознавание изображений бланков итоговых сочинений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ПО для верификации </w:t>
            </w:r>
          </w:p>
        </w:tc>
        <w:tc>
          <w:tcPr>
            <w:tcW w:w="66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Специализированное ПО, для проверки и коррекции результатов распознавания изображений бланков итоговых сочинений</w:t>
            </w:r>
          </w:p>
        </w:tc>
      </w:tr>
    </w:tbl>
    <w:p>
      <w:pPr>
        <w:spacing w:before="0" w:after="200" w:line="360"/>
        <w:ind w:right="0" w:left="7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keepNext w:val="true"/>
        <w:keepLines w:val="true"/>
        <w:numPr>
          <w:ilvl w:val="0"/>
          <w:numId w:val="123"/>
        </w:numPr>
        <w:tabs>
          <w:tab w:val="left" w:pos="284" w:leader="none"/>
          <w:tab w:val="left" w:pos="568" w:leader="none"/>
          <w:tab w:val="left" w:pos="1134" w:leader="none"/>
          <w:tab w:val="left" w:pos="1418" w:leader="none"/>
          <w:tab w:val="left" w:pos="1701" w:leader="none"/>
          <w:tab w:val="left" w:pos="1985" w:leader="none"/>
        </w:tabs>
        <w:suppressAutoHyphens w:val="true"/>
        <w:spacing w:before="240" w:after="120" w:line="360"/>
        <w:ind w:right="0" w:left="1571" w:hanging="72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  <w:t xml:space="preserve">Муниципальный уровень</w:t>
      </w: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 следующей таблице (см. Таблица 2.4) приведены требования к оборудованию, которое должно входить в состав рабочей станции на муниципальном уровне.</w:t>
      </w:r>
    </w:p>
    <w:p>
      <w:pPr>
        <w:pageBreakBefore w:val="true"/>
        <w:spacing w:before="0" w:after="20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Таблица 2.4 – Требования к оборудованию рабочей станции на муниципальном уровне</w:t>
      </w:r>
    </w:p>
    <w:tbl>
      <w:tblPr>
        <w:tblInd w:w="108" w:type="dxa"/>
      </w:tblPr>
      <w:tblGrid>
        <w:gridCol w:w="3456"/>
        <w:gridCol w:w="5900"/>
      </w:tblGrid>
      <w:tr>
        <w:trPr>
          <w:trHeight w:val="1" w:hRule="atLeast"/>
          <w:jc w:val="left"/>
          <w:cantSplit w:val="1"/>
        </w:trPr>
        <w:tc>
          <w:tcPr>
            <w:tcW w:w="3456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Компонент</w:t>
            </w:r>
          </w:p>
        </w:tc>
        <w:tc>
          <w:tcPr>
            <w:tcW w:w="5900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Конфигурация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Рабочая станция на муниципальном уровне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Наличие стабильного канала связи с выходом в Интернет.</w:t>
            </w:r>
          </w:p>
          <w:p>
            <w:pPr>
              <w:spacing w:before="0" w:after="0" w:line="36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Рабочая станция должна иметь устройство резервного копирования: внешний интерфейс: USB 2.0.</w:t>
            </w:r>
          </w:p>
          <w:p>
            <w:pPr>
              <w:spacing w:before="0" w:after="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Дополнительных специальных требований к рабочей станции не предъявляется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Лазерный принтер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0" w:after="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Формат: А4:</w:t>
            </w:r>
          </w:p>
          <w:p>
            <w:pPr>
              <w:keepNext w:val="true"/>
              <w:spacing w:before="0" w:after="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Скорость черно-белой печати (обычный режим, A4): 30 стр./мин.</w:t>
            </w:r>
          </w:p>
          <w:p>
            <w:pPr>
              <w:keepNext w:val="true"/>
              <w:spacing w:before="0" w:after="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Качество черно-белой печати (режим наилучшего качества) не менее 600 x 600 точек на дюйм</w:t>
            </w:r>
          </w:p>
          <w:p>
            <w:pPr>
              <w:keepNext w:val="true"/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Технология печати: Лазерная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Сканер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Режим отсечения красного цвета</w:t>
            </w:r>
          </w:p>
          <w:p>
            <w:pPr>
              <w:keepNext w:val="true"/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TWAIN-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совместимый сканер</w:t>
            </w:r>
          </w:p>
          <w:p>
            <w:pPr>
              <w:keepNext w:val="true"/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Область сканирования: А4</w:t>
            </w:r>
          </w:p>
          <w:p>
            <w:pPr>
              <w:keepNext w:val="true"/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Сканирование с разрешением 300 dpi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Ксерокс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0" w:after="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Специальных требований не предъявляется</w:t>
            </w:r>
          </w:p>
        </w:tc>
      </w:tr>
    </w:tbl>
    <w:p>
      <w:pPr>
        <w:spacing w:before="0" w:after="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 следующей таблице (см. Таблица 2.5) приведены требования к аппаратному обеспечению на муниципальном уровне.</w:t>
      </w:r>
    </w:p>
    <w:p>
      <w:pPr>
        <w:pageBreakBefore w:val="true"/>
        <w:spacing w:before="0" w:after="20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Таблица 2.5 - Требования к аппаратному обеспечению на муниципальном уровне</w:t>
      </w:r>
    </w:p>
    <w:tbl>
      <w:tblPr>
        <w:tblInd w:w="108" w:type="dxa"/>
      </w:tblPr>
      <w:tblGrid>
        <w:gridCol w:w="3456"/>
        <w:gridCol w:w="5900"/>
      </w:tblGrid>
      <w:tr>
        <w:trPr>
          <w:trHeight w:val="1" w:hRule="atLeast"/>
          <w:jc w:val="left"/>
          <w:cantSplit w:val="1"/>
        </w:trPr>
        <w:tc>
          <w:tcPr>
            <w:tcW w:w="3456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Компонент</w:t>
            </w:r>
          </w:p>
        </w:tc>
        <w:tc>
          <w:tcPr>
            <w:tcW w:w="5900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Конфигурация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Центральный процессор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Рекомендуется: Intel Pentium 4 2,4 ГГц, но не менее рекомендуемого для установленной ОС.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Оперативная память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Рекомендуемая: 2 Gb</w:t>
            </w:r>
          </w:p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Минимальная: 1 Gb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Дисковая подсистема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SATA (IDE),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свободного места не менее 1 Gb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Внешние интерфейсы и накопители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Устройство резервного копирования: ATAPI CD-RW</w:t>
            </w:r>
          </w:p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Внешний интерфейс: USB 2.0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Видеоадаптер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Встроен в чипсет материнской платы, производительность не менее рекомендуемой для установленной ОС.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Клавиатура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Присутствует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Мышь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Присутствует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Монитор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SVGA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разрешение не менее 1024px по горизонтали.</w:t>
            </w:r>
          </w:p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Рекомендуемое разрешение: 1280x1024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12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Сетевая плата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12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Ethernet 10/100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Мбит</w:t>
            </w:r>
          </w:p>
        </w:tc>
      </w:tr>
    </w:tbl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 следующей таблице (см. Таблица 2.6) приведены требования к конфигурации программного обеспечения рабочей станции на муниципальном уровне.</w:t>
      </w:r>
    </w:p>
    <w:p>
      <w:pPr>
        <w:pageBreakBefore w:val="true"/>
        <w:spacing w:before="0" w:after="20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Таблица 2.6 - Требования к конфигурации программного обеспечения рабочей станции на муниципальном уровне</w:t>
      </w:r>
    </w:p>
    <w:tbl>
      <w:tblPr/>
      <w:tblGrid>
        <w:gridCol w:w="2943"/>
        <w:gridCol w:w="6644"/>
      </w:tblGrid>
      <w:tr>
        <w:trPr>
          <w:trHeight w:val="1" w:hRule="atLeast"/>
          <w:jc w:val="left"/>
          <w:cantSplit w:val="1"/>
        </w:trPr>
        <w:tc>
          <w:tcPr>
            <w:tcW w:w="2943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tabs>
                <w:tab w:val="right" w:pos="2727" w:leader="none"/>
              </w:tabs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Компонент</w:t>
            </w:r>
          </w:p>
        </w:tc>
        <w:tc>
          <w:tcPr>
            <w:tcW w:w="6644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Конфигурация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Операционная система</w:t>
            </w:r>
          </w:p>
        </w:tc>
        <w:tc>
          <w:tcPr>
            <w:tcW w:w="6644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Windows XP service pack 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и выше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Дополнительное ПО</w:t>
            </w:r>
          </w:p>
        </w:tc>
        <w:tc>
          <w:tcPr>
            <w:tcW w:w="66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Microsoft .NET Framework 3.5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и выше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Интернет браузер</w:t>
            </w:r>
          </w:p>
        </w:tc>
        <w:tc>
          <w:tcPr>
            <w:tcW w:w="66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Любой из браузеров:</w:t>
            </w:r>
          </w:p>
          <w:p>
            <w:pPr>
              <w:numPr>
                <w:ilvl w:val="0"/>
                <w:numId w:val="182"/>
              </w:numPr>
              <w:spacing w:before="60" w:after="60" w:line="360"/>
              <w:ind w:right="0" w:left="720" w:hanging="36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Mozilla Firefox,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версия не ниже 3,</w:t>
            </w:r>
          </w:p>
          <w:p>
            <w:pPr>
              <w:numPr>
                <w:ilvl w:val="0"/>
                <w:numId w:val="182"/>
              </w:numPr>
              <w:spacing w:before="60" w:after="60" w:line="360"/>
              <w:ind w:right="0" w:left="720" w:hanging="36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Google Chrome,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версия не ниже 18,</w:t>
            </w:r>
          </w:p>
          <w:p>
            <w:pPr>
              <w:numPr>
                <w:ilvl w:val="0"/>
                <w:numId w:val="182"/>
              </w:numPr>
              <w:spacing w:before="60" w:after="60" w:line="360"/>
              <w:ind w:right="0" w:left="720" w:hanging="36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Opera,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версия не ниже 12,</w:t>
            </w:r>
          </w:p>
          <w:p>
            <w:pPr>
              <w:numPr>
                <w:ilvl w:val="0"/>
                <w:numId w:val="182"/>
              </w:numPr>
              <w:spacing w:before="60" w:after="60" w:line="360"/>
              <w:ind w:right="0" w:left="720" w:hanging="36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Microsoft Internet Explorer,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версия не ниже 8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ПО для сканирования</w:t>
            </w:r>
          </w:p>
        </w:tc>
        <w:tc>
          <w:tcPr>
            <w:tcW w:w="66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Специализированное ПО, обеспечивающее сканирование бланков итоговых сочинений</w:t>
            </w:r>
          </w:p>
        </w:tc>
      </w:tr>
    </w:tbl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keepNext w:val="true"/>
        <w:keepLines w:val="true"/>
        <w:numPr>
          <w:ilvl w:val="0"/>
          <w:numId w:val="187"/>
        </w:numPr>
        <w:tabs>
          <w:tab w:val="left" w:pos="284" w:leader="none"/>
          <w:tab w:val="left" w:pos="568" w:leader="none"/>
          <w:tab w:val="left" w:pos="1134" w:leader="none"/>
          <w:tab w:val="left" w:pos="1418" w:leader="none"/>
          <w:tab w:val="left" w:pos="1701" w:leader="none"/>
          <w:tab w:val="left" w:pos="1985" w:leader="none"/>
        </w:tabs>
        <w:suppressAutoHyphens w:val="true"/>
        <w:spacing w:before="240" w:after="120" w:line="360"/>
        <w:ind w:right="0" w:left="1571" w:hanging="72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  <w:t xml:space="preserve">Уровень образовательных организаций</w:t>
      </w: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 следующей таблице (см. Таблица 2.7) приведены требования к оборудованию, которое должно входить в состав рабочей станции на уровне образовательных организаций.</w:t>
      </w:r>
    </w:p>
    <w:p>
      <w:pPr>
        <w:pageBreakBefore w:val="true"/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Таблица 2.7 -  Требования к оборудованию на рабочей станции уровня образовательных организаций</w:t>
      </w:r>
    </w:p>
    <w:tbl>
      <w:tblPr>
        <w:tblInd w:w="108" w:type="dxa"/>
      </w:tblPr>
      <w:tblGrid>
        <w:gridCol w:w="3456"/>
        <w:gridCol w:w="5900"/>
      </w:tblGrid>
      <w:tr>
        <w:trPr>
          <w:trHeight w:val="1" w:hRule="atLeast"/>
          <w:jc w:val="left"/>
          <w:cantSplit w:val="1"/>
        </w:trPr>
        <w:tc>
          <w:tcPr>
            <w:tcW w:w="3456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Компонент</w:t>
            </w:r>
          </w:p>
        </w:tc>
        <w:tc>
          <w:tcPr>
            <w:tcW w:w="5900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Конфигурация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Рабочая станция на уровне образовательных организаций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Наличие стабильного канала связи с выходом в Интернет.</w:t>
            </w:r>
          </w:p>
          <w:p>
            <w:pPr>
              <w:spacing w:before="60" w:after="60" w:line="36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Рабочая станция должна иметь устройство резервного копирования: внешний интерфейс: USB 2.0.</w:t>
            </w:r>
          </w:p>
          <w:p>
            <w:pPr>
              <w:spacing w:before="60" w:after="60" w:line="36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Дополнительных специальных требований к рабочей станции не предъявляется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Лазерный принтер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Формат: А4:</w:t>
            </w:r>
          </w:p>
          <w:p>
            <w:pPr>
              <w:keepNext w:val="true"/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Скорость черно-белой печати (обычный режим, A4): 30 стр./мин.</w:t>
            </w:r>
          </w:p>
          <w:p>
            <w:pPr>
              <w:keepNext w:val="true"/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Качество черно-белой печати (режим наилучшего качества) не менее 600 x 600 точек на дюйм</w:t>
            </w:r>
          </w:p>
          <w:p>
            <w:pPr>
              <w:keepNext w:val="true"/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Технология печати: Лазерная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Сканер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Режим отсечения красного цвета</w:t>
            </w:r>
          </w:p>
          <w:p>
            <w:pPr>
              <w:keepNext w:val="true"/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TWAIN-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совместимый сканер</w:t>
            </w:r>
          </w:p>
          <w:p>
            <w:pPr>
              <w:keepNext w:val="true"/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Область сканирования: А4</w:t>
            </w:r>
          </w:p>
          <w:p>
            <w:pPr>
              <w:keepNext w:val="true"/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Сканирование с разрешением 300 dpi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Ксерокс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Специальных требований не предъявляется</w:t>
            </w:r>
          </w:p>
        </w:tc>
      </w:tr>
    </w:tbl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 следующей таблице (см. Таблица 2.8) приведены требования к аппаратному обеспечению рабочей станции на уровне образовательных организаций.</w:t>
      </w: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Таблица 2.8 - Требования к аппаратному обеспечению рабочей станции на уровне образовательных организаций</w:t>
      </w:r>
    </w:p>
    <w:tbl>
      <w:tblPr>
        <w:tblInd w:w="108" w:type="dxa"/>
      </w:tblPr>
      <w:tblGrid>
        <w:gridCol w:w="3456"/>
        <w:gridCol w:w="5900"/>
      </w:tblGrid>
      <w:tr>
        <w:trPr>
          <w:trHeight w:val="1" w:hRule="atLeast"/>
          <w:jc w:val="left"/>
          <w:cantSplit w:val="1"/>
        </w:trPr>
        <w:tc>
          <w:tcPr>
            <w:tcW w:w="3456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Компонент</w:t>
            </w:r>
          </w:p>
        </w:tc>
        <w:tc>
          <w:tcPr>
            <w:tcW w:w="5900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Конфигурация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Центральный процессор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Рекомендуется: Intel Pentium 4 2,4 ГГц, но не менее рекомендуемого для установленной ОС.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Оперативная память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Рекомендуемая: 2 Gb</w:t>
            </w:r>
          </w:p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Минимальная: 1 Gb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Дисковая подсистема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SATA (IDE),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свободного места не менее 1 Gb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Внешние интерфейсы и накопители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Устройство резервного копирования: ATAPI CD-RW</w:t>
            </w:r>
          </w:p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Внешний интерфейс: USB 2.0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Видеоадаптер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встроен в чипсет материнской платы, производительность не менее рекомендуемой для установленной ОС.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Клавиатура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Присутствует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Мышь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Присутствует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Монитор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SVGA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разрешение не менее 1024px по горизонтали.</w:t>
            </w:r>
          </w:p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Рекомендуемое разрешение: 1280x1024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Сетевая плата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Ethernet 10/100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Мбит</w:t>
            </w:r>
          </w:p>
        </w:tc>
      </w:tr>
      <w:tr>
        <w:trPr>
          <w:trHeight w:val="1" w:hRule="atLeast"/>
          <w:jc w:val="left"/>
        </w:trPr>
        <w:tc>
          <w:tcPr>
            <w:tcW w:w="3456" w:type="dxa"/>
            <w:tcBorders>
              <w:top w:val="single" w:color="000000" w:sz="4"/>
              <w:left w:val="single" w:color="000000" w:sz="8"/>
              <w:bottom w:val="single" w:color="000000" w:sz="12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Система бесперебойного питания (рекомендуется)</w:t>
            </w:r>
          </w:p>
        </w:tc>
        <w:tc>
          <w:tcPr>
            <w:tcW w:w="5900" w:type="dxa"/>
            <w:tcBorders>
              <w:top w:val="single" w:color="000000" w:sz="4"/>
              <w:left w:val="single" w:color="000000" w:sz="8"/>
              <w:bottom w:val="single" w:color="000000" w:sz="12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Выходная мощность, соответствующая потребляемой мощности подключённой рабочей станции.</w:t>
            </w:r>
          </w:p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Время работы при полной нагрузке не менее 15 мин.</w:t>
            </w:r>
          </w:p>
        </w:tc>
      </w:tr>
    </w:tbl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 следующей таблице (см. Таблица 2.9) приведены требования к конфигурации программного обеспечения на уровне образовательных организаций.</w:t>
      </w: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Таблица 2.9 - Требования к конфигурации программного обеспечения на уровне образовательных организаций</w:t>
      </w:r>
    </w:p>
    <w:tbl>
      <w:tblPr/>
      <w:tblGrid>
        <w:gridCol w:w="2943"/>
        <w:gridCol w:w="6644"/>
      </w:tblGrid>
      <w:tr>
        <w:trPr>
          <w:trHeight w:val="1" w:hRule="atLeast"/>
          <w:jc w:val="left"/>
          <w:cantSplit w:val="1"/>
        </w:trPr>
        <w:tc>
          <w:tcPr>
            <w:tcW w:w="2943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tabs>
                <w:tab w:val="right" w:pos="2727" w:leader="none"/>
              </w:tabs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Компонент</w:t>
            </w:r>
          </w:p>
        </w:tc>
        <w:tc>
          <w:tcPr>
            <w:tcW w:w="6644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true"/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Конфигурация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Операционная система</w:t>
            </w:r>
          </w:p>
        </w:tc>
        <w:tc>
          <w:tcPr>
            <w:tcW w:w="6644" w:type="dxa"/>
            <w:tcBorders>
              <w:top w:val="single" w:color="000000" w:sz="12"/>
              <w:left w:val="single" w:color="000000" w:sz="8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Windows XP service pack 3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и выше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Дополнительное ПО</w:t>
            </w:r>
          </w:p>
        </w:tc>
        <w:tc>
          <w:tcPr>
            <w:tcW w:w="66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Microsoft .NET Framework 3.5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и выше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Интернет браузер</w:t>
            </w:r>
          </w:p>
        </w:tc>
        <w:tc>
          <w:tcPr>
            <w:tcW w:w="66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Любой из браузеров:</w:t>
            </w:r>
          </w:p>
          <w:p>
            <w:pPr>
              <w:numPr>
                <w:ilvl w:val="0"/>
                <w:numId w:val="248"/>
              </w:numPr>
              <w:spacing w:before="60" w:after="60" w:line="360"/>
              <w:ind w:right="0" w:left="720" w:hanging="36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Mozilla Firefox,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версия не ниже 3,</w:t>
            </w:r>
          </w:p>
          <w:p>
            <w:pPr>
              <w:numPr>
                <w:ilvl w:val="0"/>
                <w:numId w:val="248"/>
              </w:numPr>
              <w:spacing w:before="60" w:after="60" w:line="360"/>
              <w:ind w:right="0" w:left="720" w:hanging="36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Google Chrome,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версия не ниже 18,</w:t>
            </w:r>
          </w:p>
          <w:p>
            <w:pPr>
              <w:numPr>
                <w:ilvl w:val="0"/>
                <w:numId w:val="248"/>
              </w:numPr>
              <w:spacing w:before="60" w:after="60" w:line="360"/>
              <w:ind w:right="0" w:left="720" w:hanging="36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Opera,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версия не ниже 12,</w:t>
            </w:r>
          </w:p>
          <w:p>
            <w:pPr>
              <w:numPr>
                <w:ilvl w:val="0"/>
                <w:numId w:val="248"/>
              </w:numPr>
              <w:spacing w:before="60" w:after="60" w:line="360"/>
              <w:ind w:right="0" w:left="720" w:hanging="36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Microsoft Internet Explorer,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версия не ниже 8</w:t>
            </w:r>
          </w:p>
        </w:tc>
      </w:tr>
      <w:tr>
        <w:trPr>
          <w:trHeight w:val="1" w:hRule="atLeast"/>
          <w:jc w:val="left"/>
        </w:trPr>
        <w:tc>
          <w:tcPr>
            <w:tcW w:w="2943" w:type="dxa"/>
            <w:tcBorders>
              <w:top w:val="single" w:color="000000" w:sz="4"/>
              <w:left w:val="single" w:color="000000" w:sz="8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ПО для сканирования</w:t>
            </w:r>
          </w:p>
        </w:tc>
        <w:tc>
          <w:tcPr>
            <w:tcW w:w="664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8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Специализированное ПО, обеспечивающее сканирование бланков итоговых сочинений</w:t>
            </w:r>
          </w:p>
        </w:tc>
      </w:tr>
    </w:tbl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keepNext w:val="true"/>
        <w:keepLines w:val="true"/>
        <w:numPr>
          <w:ilvl w:val="0"/>
          <w:numId w:val="253"/>
        </w:numPr>
        <w:tabs>
          <w:tab w:val="left" w:pos="1" w:leader="none"/>
          <w:tab w:val="left" w:pos="284" w:leader="none"/>
          <w:tab w:val="left" w:pos="568" w:leader="none"/>
          <w:tab w:val="left" w:pos="851" w:leader="none"/>
          <w:tab w:val="left" w:pos="1134" w:leader="none"/>
          <w:tab w:val="left" w:pos="1418" w:leader="none"/>
          <w:tab w:val="left" w:pos="1701" w:leader="none"/>
          <w:tab w:val="left" w:pos="1985" w:leader="none"/>
        </w:tabs>
        <w:suppressAutoHyphens w:val="true"/>
        <w:spacing w:before="240" w:after="60" w:line="360"/>
        <w:ind w:right="0" w:left="714" w:hanging="357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  <w:t xml:space="preserve">Требования к техническому и программному оснащению серверу публикации бланков</w:t>
      </w: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 разделе указаны требования к техническому и программному оснащению серверу публикации бланков с учетом размещения на сервера бланков итогового сочинение (изложения), а также бланков ЕГЭ.</w:t>
      </w: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Основным параметром, который определяет требования к серверу, является количество участников в регионе.</w:t>
      </w: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Основными критичными факторами являются:</w:t>
      </w:r>
    </w:p>
    <w:p>
      <w:pPr>
        <w:numPr>
          <w:ilvl w:val="0"/>
          <w:numId w:val="255"/>
        </w:numPr>
        <w:spacing w:before="0" w:after="200" w:line="360"/>
        <w:ind w:right="0" w:left="1429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пропускная способность канала;</w:t>
      </w:r>
    </w:p>
    <w:p>
      <w:pPr>
        <w:numPr>
          <w:ilvl w:val="0"/>
          <w:numId w:val="255"/>
        </w:numPr>
        <w:spacing w:before="0" w:after="200" w:line="360"/>
        <w:ind w:right="0" w:left="1429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скорость работы дисковой системы сервера.</w:t>
      </w: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 следующей таблице (см. Таблица 3.1) приведены требования к конфигурации сервера исходя из количества участников ЕГЭ в регионе.</w:t>
      </w:r>
    </w:p>
    <w:p>
      <w:pPr>
        <w:spacing w:before="24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Таблица 3.1 - Требования к конфигурации сервера публикации бланков</w:t>
      </w:r>
    </w:p>
    <w:tbl>
      <w:tblPr/>
      <w:tblGrid>
        <w:gridCol w:w="3464"/>
        <w:gridCol w:w="1983"/>
        <w:gridCol w:w="2065"/>
        <w:gridCol w:w="2062"/>
      </w:tblGrid>
      <w:tr>
        <w:trPr>
          <w:trHeight w:val="255" w:hRule="auto"/>
          <w:jc w:val="left"/>
        </w:trPr>
        <w:tc>
          <w:tcPr>
            <w:tcW w:w="34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24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Количество участников, тыс. чел.</w:t>
            </w:r>
          </w:p>
        </w:tc>
        <w:tc>
          <w:tcPr>
            <w:tcW w:w="198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10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тыс.</w:t>
            </w:r>
          </w:p>
        </w:tc>
        <w:tc>
          <w:tcPr>
            <w:tcW w:w="20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20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тыс.</w:t>
            </w:r>
          </w:p>
        </w:tc>
        <w:tc>
          <w:tcPr>
            <w:tcW w:w="20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50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тыс.</w:t>
            </w:r>
          </w:p>
        </w:tc>
      </w:tr>
      <w:tr>
        <w:trPr>
          <w:trHeight w:val="255" w:hRule="auto"/>
          <w:jc w:val="left"/>
        </w:trPr>
        <w:tc>
          <w:tcPr>
            <w:tcW w:w="34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процессор</w:t>
            </w:r>
          </w:p>
        </w:tc>
        <w:tc>
          <w:tcPr>
            <w:tcW w:w="404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ядра от 2 Ггц</w:t>
            </w:r>
          </w:p>
        </w:tc>
        <w:tc>
          <w:tcPr>
            <w:tcW w:w="20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ядер от 2 Ггц</w:t>
            </w:r>
          </w:p>
        </w:tc>
      </w:tr>
      <w:tr>
        <w:trPr>
          <w:trHeight w:val="255" w:hRule="auto"/>
          <w:jc w:val="left"/>
        </w:trPr>
        <w:tc>
          <w:tcPr>
            <w:tcW w:w="34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RAM</w:t>
            </w:r>
          </w:p>
        </w:tc>
        <w:tc>
          <w:tcPr>
            <w:tcW w:w="4048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от 8 Гб</w:t>
            </w:r>
          </w:p>
        </w:tc>
        <w:tc>
          <w:tcPr>
            <w:tcW w:w="20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от 16 Гб</w:t>
            </w:r>
          </w:p>
        </w:tc>
      </w:tr>
      <w:tr>
        <w:trPr>
          <w:trHeight w:val="255" w:hRule="auto"/>
          <w:jc w:val="left"/>
        </w:trPr>
        <w:tc>
          <w:tcPr>
            <w:tcW w:w="34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пропускная способность канала</w:t>
            </w:r>
          </w:p>
        </w:tc>
        <w:tc>
          <w:tcPr>
            <w:tcW w:w="198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100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Мбит/с</w:t>
            </w:r>
          </w:p>
        </w:tc>
        <w:tc>
          <w:tcPr>
            <w:tcW w:w="20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200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Мбит/с</w:t>
            </w:r>
          </w:p>
        </w:tc>
        <w:tc>
          <w:tcPr>
            <w:tcW w:w="20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500 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Мбит/с</w:t>
            </w:r>
          </w:p>
        </w:tc>
      </w:tr>
      <w:tr>
        <w:trPr>
          <w:trHeight w:val="255" w:hRule="auto"/>
          <w:jc w:val="left"/>
        </w:trPr>
        <w:tc>
          <w:tcPr>
            <w:tcW w:w="34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жесткий диск:</w:t>
            </w:r>
          </w:p>
        </w:tc>
        <w:tc>
          <w:tcPr>
            <w:tcW w:w="611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55" w:hRule="auto"/>
          <w:jc w:val="left"/>
        </w:trPr>
        <w:tc>
          <w:tcPr>
            <w:tcW w:w="34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рекомендованный RAID</w:t>
            </w:r>
          </w:p>
        </w:tc>
        <w:tc>
          <w:tcPr>
            <w:tcW w:w="198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RAID-0</w:t>
            </w:r>
          </w:p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4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диска</w:t>
            </w:r>
          </w:p>
        </w:tc>
        <w:tc>
          <w:tcPr>
            <w:tcW w:w="20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RAID-0</w:t>
            </w:r>
          </w:p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8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дисков</w:t>
            </w:r>
          </w:p>
        </w:tc>
        <w:tc>
          <w:tcPr>
            <w:tcW w:w="20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RAID-0</w:t>
            </w:r>
          </w:p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10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дисков</w:t>
            </w:r>
          </w:p>
        </w:tc>
      </w:tr>
      <w:tr>
        <w:trPr>
          <w:trHeight w:val="255" w:hRule="auto"/>
          <w:jc w:val="left"/>
        </w:trPr>
        <w:tc>
          <w:tcPr>
            <w:tcW w:w="34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объем данных, ГБ</w:t>
            </w:r>
          </w:p>
        </w:tc>
        <w:tc>
          <w:tcPr>
            <w:tcW w:w="198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200</w:t>
            </w:r>
          </w:p>
        </w:tc>
        <w:tc>
          <w:tcPr>
            <w:tcW w:w="20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400</w:t>
            </w:r>
          </w:p>
        </w:tc>
        <w:tc>
          <w:tcPr>
            <w:tcW w:w="20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60" w:after="60" w:line="36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1 000</w:t>
            </w:r>
          </w:p>
        </w:tc>
      </w:tr>
    </w:tbl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В следующей таблице (см. Таблица 3.2) приведены требования к системному программному обеспечению сервера и настройке сервера.</w:t>
      </w:r>
    </w:p>
    <w:p>
      <w:pPr>
        <w:spacing w:before="24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Таблица 3.2 - Требования к системному программному обеспечению сервера и настройке сервера</w:t>
      </w:r>
    </w:p>
    <w:tbl>
      <w:tblPr/>
      <w:tblGrid>
        <w:gridCol w:w="3510"/>
        <w:gridCol w:w="5812"/>
      </w:tblGrid>
      <w:tr>
        <w:trPr>
          <w:trHeight w:val="1" w:hRule="atLeast"/>
          <w:jc w:val="left"/>
        </w:trPr>
        <w:tc>
          <w:tcPr>
            <w:tcW w:w="35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Параметр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6"/>
                <w:shd w:fill="auto" w:val="clear"/>
              </w:rPr>
              <w:t xml:space="preserve">Значение</w:t>
            </w:r>
          </w:p>
        </w:tc>
      </w:tr>
      <w:tr>
        <w:trPr>
          <w:trHeight w:val="491" w:hRule="auto"/>
          <w:jc w:val="left"/>
        </w:trPr>
        <w:tc>
          <w:tcPr>
            <w:tcW w:w="35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Операционная система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Windows 2003 Server, Windows 2008 Server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 последними обновлениями</w:t>
            </w:r>
          </w:p>
        </w:tc>
      </w:tr>
      <w:tr>
        <w:trPr>
          <w:trHeight w:val="491" w:hRule="auto"/>
          <w:jc w:val="left"/>
        </w:trPr>
        <w:tc>
          <w:tcPr>
            <w:tcW w:w="35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web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сервер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IIS 6.0+</w:t>
            </w:r>
          </w:p>
        </w:tc>
      </w:tr>
      <w:tr>
        <w:trPr>
          <w:trHeight w:val="378" w:hRule="auto"/>
          <w:jc w:val="left"/>
        </w:trPr>
        <w:tc>
          <w:tcPr>
            <w:tcW w:w="35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Поддерживаемые протоколы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http</w:t>
            </w:r>
          </w:p>
        </w:tc>
      </w:tr>
      <w:tr>
        <w:trPr>
          <w:trHeight w:val="563" w:hRule="auto"/>
          <w:jc w:val="left"/>
        </w:trPr>
        <w:tc>
          <w:tcPr>
            <w:tcW w:w="35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поддержка https 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не требуется</w:t>
            </w:r>
          </w:p>
        </w:tc>
      </w:tr>
      <w:tr>
        <w:trPr>
          <w:trHeight w:val="563" w:hRule="auto"/>
          <w:jc w:val="left"/>
        </w:trPr>
        <w:tc>
          <w:tcPr>
            <w:tcW w:w="35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поддержка ftp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не требуется</w:t>
            </w:r>
          </w:p>
        </w:tc>
      </w:tr>
      <w:tr>
        <w:trPr>
          <w:trHeight w:val="625" w:hRule="auto"/>
          <w:jc w:val="left"/>
        </w:trPr>
        <w:tc>
          <w:tcPr>
            <w:tcW w:w="35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аутентификация и авторизация пользователей 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нет</w:t>
            </w:r>
          </w:p>
        </w:tc>
      </w:tr>
      <w:tr>
        <w:trPr>
          <w:trHeight w:val="625" w:hRule="auto"/>
          <w:jc w:val="left"/>
        </w:trPr>
        <w:tc>
          <w:tcPr>
            <w:tcW w:w="35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анонимный доступ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да</w:t>
            </w:r>
          </w:p>
        </w:tc>
      </w:tr>
      <w:tr>
        <w:trPr>
          <w:trHeight w:val="625" w:hRule="auto"/>
          <w:jc w:val="left"/>
        </w:trPr>
        <w:tc>
          <w:tcPr>
            <w:tcW w:w="35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внешний статический IP адрес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да</w:t>
            </w:r>
          </w:p>
        </w:tc>
      </w:tr>
      <w:tr>
        <w:trPr>
          <w:trHeight w:val="625" w:hRule="auto"/>
          <w:jc w:val="left"/>
        </w:trPr>
        <w:tc>
          <w:tcPr>
            <w:tcW w:w="35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сервер СУБД</w:t>
            </w:r>
          </w:p>
        </w:tc>
        <w:tc>
          <w:tcPr>
            <w:tcW w:w="58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6"/>
                <w:shd w:fill="auto" w:val="clear"/>
              </w:rPr>
              <w:t xml:space="preserve">нет</w:t>
            </w:r>
          </w:p>
        </w:tc>
      </w:tr>
    </w:tbl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keepNext w:val="true"/>
        <w:keepLines w:val="true"/>
        <w:numPr>
          <w:ilvl w:val="0"/>
          <w:numId w:val="308"/>
        </w:numPr>
        <w:tabs>
          <w:tab w:val="left" w:pos="1" w:leader="none"/>
          <w:tab w:val="left" w:pos="284" w:leader="none"/>
          <w:tab w:val="left" w:pos="568" w:leader="none"/>
          <w:tab w:val="left" w:pos="851" w:leader="none"/>
          <w:tab w:val="left" w:pos="1134" w:leader="none"/>
          <w:tab w:val="left" w:pos="1418" w:leader="none"/>
          <w:tab w:val="left" w:pos="1701" w:leader="none"/>
          <w:tab w:val="left" w:pos="1985" w:leader="none"/>
        </w:tabs>
        <w:suppressAutoHyphens w:val="true"/>
        <w:spacing w:before="240" w:after="60" w:line="360"/>
        <w:ind w:right="0" w:left="714" w:hanging="357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  <w:t xml:space="preserve">Требования к материальному оснащению </w:t>
      </w:r>
    </w:p>
    <w:p>
      <w:pPr>
        <w:spacing w:before="0" w:after="200" w:line="36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На региональном, муниципальном и уровне образовательных организаций должно быть подготовлено необходимое количество бумаги формата А4, определяемое из расчета 5 листов на каждого обучающегося, выпускника прошлых лет (при этом количество листов необходимо увеличить в 2 раза, если на принтере возможно только односторонняя печать) + 5 листов для копирования бланка регистрации и бланков ответа, для проверки итогового сочинения (изложения). Также необходимо учитывать, что возможна порча бланков регистрации и бланков ответа обучающегося, выпускника прошлых лет, с последующей заменой.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tabs>
          <w:tab w:val="left" w:pos="1594" w:leader="none"/>
        </w:tabs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abstractNum w:abstractNumId="66">
    <w:lvl w:ilvl="0">
      <w:start w:val="1"/>
      <w:numFmt w:val="bullet"/>
      <w:lvlText w:val="•"/>
    </w:lvl>
  </w:abstractNum>
  <w:num w:numId="2">
    <w:abstractNumId w:val="66"/>
  </w:num>
  <w:num w:numId="7">
    <w:abstractNumId w:val="60"/>
  </w:num>
  <w:num w:numId="48">
    <w:abstractNumId w:val="54"/>
  </w:num>
  <w:num w:numId="52">
    <w:abstractNumId w:val="48"/>
  </w:num>
  <w:num w:numId="114">
    <w:abstractNumId w:val="42"/>
  </w:num>
  <w:num w:numId="123">
    <w:abstractNumId w:val="36"/>
  </w:num>
  <w:num w:numId="182">
    <w:abstractNumId w:val="30"/>
  </w:num>
  <w:num w:numId="187">
    <w:abstractNumId w:val="24"/>
  </w:num>
  <w:num w:numId="248">
    <w:abstractNumId w:val="18"/>
  </w:num>
  <w:num w:numId="253">
    <w:abstractNumId w:val="12"/>
  </w:num>
  <w:num w:numId="255">
    <w:abstractNumId w:val="6"/>
  </w:num>
  <w:num w:numId="30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embeddings/oleObject0.bin" Id="docRId0" Type="http://schemas.openxmlformats.org/officeDocument/2006/relationships/oleObject"/><Relationship Target="media/image0.wmf" Id="docRId1" Type="http://schemas.openxmlformats.org/officeDocument/2006/relationships/image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